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34B6A" w14:textId="619FD955" w:rsidR="00326B22" w:rsidRDefault="00326B22" w:rsidP="00326B22">
      <w:pPr>
        <w:spacing w:line="276" w:lineRule="auto"/>
        <w:jc w:val="both"/>
        <w:rPr>
          <w:rFonts w:ascii="Aptos Display" w:eastAsia="Aptos" w:hAnsi="Aptos Display" w:cs="Arial"/>
          <w:b/>
          <w:bCs/>
          <w:color w:val="183351"/>
          <w:sz w:val="40"/>
          <w:szCs w:val="40"/>
          <w:lang w:val="fr-FR"/>
        </w:rPr>
      </w:pPr>
      <w:r w:rsidRPr="00326B22">
        <w:drawing>
          <wp:anchor distT="0" distB="0" distL="114300" distR="114300" simplePos="0" relativeHeight="251658240" behindDoc="0" locked="0" layoutInCell="1" allowOverlap="1" wp14:anchorId="6CA42E79" wp14:editId="109225C0">
            <wp:simplePos x="0" y="0"/>
            <wp:positionH relativeFrom="margin">
              <wp:align>center</wp:align>
            </wp:positionH>
            <wp:positionV relativeFrom="paragraph">
              <wp:posOffset>-398780</wp:posOffset>
            </wp:positionV>
            <wp:extent cx="757555" cy="662305"/>
            <wp:effectExtent l="0" t="0" r="4445" b="4445"/>
            <wp:wrapNone/>
            <wp:docPr id="16" name="Image 6" descr="Une image contenant Police, logo, Graphique, conception&#10;&#10;Le contenu généré par l’IA peut être incorrect.">
              <a:extLst xmlns:a="http://schemas.openxmlformats.org/drawingml/2006/main">
                <a:ext uri="{FF2B5EF4-FFF2-40B4-BE49-F238E27FC236}">
                  <a16:creationId xmlns:a16="http://schemas.microsoft.com/office/drawing/2014/main" id="{47512B4B-F590-E179-3963-32A0B15E5F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6" descr="Une image contenant Police, logo, Graphique, conception&#10;&#10;Le contenu généré par l’IA peut être incorrect.">
                      <a:extLst>
                        <a:ext uri="{FF2B5EF4-FFF2-40B4-BE49-F238E27FC236}">
                          <a16:creationId xmlns:a16="http://schemas.microsoft.com/office/drawing/2014/main" id="{47512B4B-F590-E179-3963-32A0B15E5FBA}"/>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57555" cy="662305"/>
                    </a:xfrm>
                    <a:prstGeom prst="rect">
                      <a:avLst/>
                    </a:prstGeom>
                    <a:noFill/>
                    <a:ln cap="flat">
                      <a:noFill/>
                    </a:ln>
                  </pic:spPr>
                </pic:pic>
              </a:graphicData>
            </a:graphic>
          </wp:anchor>
        </w:drawing>
      </w:r>
    </w:p>
    <w:p w14:paraId="314920B1" w14:textId="6D9754DF" w:rsidR="00326B22" w:rsidRDefault="00326B22" w:rsidP="00D25A84">
      <w:pPr>
        <w:spacing w:line="276" w:lineRule="auto"/>
        <w:jc w:val="center"/>
        <w:rPr>
          <w:rFonts w:ascii="Aptos Display" w:eastAsia="Aptos" w:hAnsi="Aptos Display" w:cs="Arial"/>
          <w:b/>
          <w:bCs/>
          <w:color w:val="183351"/>
          <w:sz w:val="40"/>
          <w:szCs w:val="40"/>
          <w:lang w:val="fr-FR"/>
        </w:rPr>
      </w:pPr>
      <w:r>
        <w:rPr>
          <w:rFonts w:ascii="Aptos Display" w:eastAsia="Aptos" w:hAnsi="Aptos Display" w:cs="Arial"/>
          <w:b/>
          <w:bCs/>
          <w:color w:val="183351"/>
          <w:sz w:val="40"/>
          <w:szCs w:val="40"/>
          <w:lang w:val="fr-FR"/>
        </w:rPr>
        <w:t>COMMUNIQUÉ DE PRESSE</w:t>
      </w:r>
    </w:p>
    <w:p w14:paraId="02889034" w14:textId="77777777" w:rsidR="00D25A84" w:rsidRDefault="00D25A84" w:rsidP="00D25A84">
      <w:pPr>
        <w:spacing w:line="276" w:lineRule="auto"/>
        <w:jc w:val="center"/>
        <w:rPr>
          <w:rFonts w:ascii="Aptos Display" w:eastAsia="Aptos" w:hAnsi="Aptos Display" w:cs="Arial"/>
          <w:b/>
          <w:bCs/>
          <w:color w:val="183351"/>
          <w:sz w:val="40"/>
          <w:szCs w:val="40"/>
          <w:lang w:val="fr-FR"/>
          <w14:ligatures w14:val="none"/>
        </w:rPr>
      </w:pPr>
    </w:p>
    <w:p w14:paraId="0F4EEB66" w14:textId="77777777" w:rsidR="00326B22" w:rsidRPr="00326B22" w:rsidRDefault="00326B22" w:rsidP="002510A7">
      <w:pPr>
        <w:jc w:val="both"/>
        <w:rPr>
          <w:sz w:val="28"/>
          <w:szCs w:val="28"/>
        </w:rPr>
      </w:pPr>
      <w:r w:rsidRPr="00326B22">
        <w:rPr>
          <w:b/>
          <w:bCs/>
          <w:sz w:val="28"/>
          <w:szCs w:val="28"/>
          <w:lang w:val="fr-FR"/>
        </w:rPr>
        <w:t>UNE PROGRESSION RECORD DE 38% DES RECETTES ET DE 27% DU CHIFFRE D’AFFAIRES, FRUIT DES TRANSFORMATIONS ET DE LA NOUVELLE DYNAMIQUE ENGAGÉES.</w:t>
      </w:r>
    </w:p>
    <w:p w14:paraId="1466704C" w14:textId="77777777" w:rsidR="002510A7" w:rsidRDefault="002510A7" w:rsidP="00326B22">
      <w:pPr>
        <w:jc w:val="both"/>
        <w:rPr>
          <w:b/>
          <w:bCs/>
          <w:color w:val="0F4761" w:themeColor="accent1" w:themeShade="BF"/>
          <w:lang w:val="fr-FR"/>
        </w:rPr>
      </w:pPr>
    </w:p>
    <w:p w14:paraId="506B5FD0" w14:textId="3C5F79E2" w:rsidR="00326B22" w:rsidRPr="00326B22" w:rsidRDefault="002510A7" w:rsidP="00326B22">
      <w:pPr>
        <w:jc w:val="both"/>
        <w:rPr>
          <w:b/>
          <w:bCs/>
          <w:color w:val="0F4761" w:themeColor="accent1" w:themeShade="BF"/>
          <w:lang w:val="fr-FR"/>
        </w:rPr>
      </w:pPr>
      <w:r w:rsidRPr="00326B22">
        <w:rPr>
          <w:b/>
          <w:bCs/>
          <w:color w:val="0F4761" w:themeColor="accent1" w:themeShade="BF"/>
          <w:lang w:val="fr-FR"/>
        </w:rPr>
        <w:t>LE CONSEIL DE SURVEILLANCE DU HOLDING AL OMRANE S’EST REUNI LE 24 MARS 2025 POUR EXAMINER LE BILAN ET LES COMPTES SOCIAUX ET CONSOLIDES DE L’ANNEE 2024 ET ARRETER LE PLAN D’ACTION DE L’ANNEE 2025.</w:t>
      </w:r>
    </w:p>
    <w:p w14:paraId="56A05DA1" w14:textId="77777777" w:rsidR="00B411F0" w:rsidRPr="00B411F0" w:rsidRDefault="00B411F0" w:rsidP="00B411F0">
      <w:pPr>
        <w:jc w:val="both"/>
      </w:pPr>
      <w:r w:rsidRPr="00B411F0">
        <w:rPr>
          <w:lang w:val="fr-FR"/>
        </w:rPr>
        <w:t xml:space="preserve">Engagé dans une dynamique de transformation ambitieuse depuis juillet 2023, le Groupe Al Omrane a initié une revue stratégique approfondie de ses orientations et de ses objectifs de développement et en mettant le CITOYEN au cœur de son action. Cette refonte a permis de faire émerger une vision renouvelée, centrée sur l’accélération de la performance opérationnelle, ainsi que sur l’optimisation des modèles de gestion. </w:t>
      </w:r>
    </w:p>
    <w:p w14:paraId="6134C307" w14:textId="77777777" w:rsidR="00B411F0" w:rsidRPr="00B411F0" w:rsidRDefault="00B411F0" w:rsidP="00B411F0">
      <w:pPr>
        <w:jc w:val="both"/>
      </w:pPr>
      <w:r w:rsidRPr="00B411F0">
        <w:rPr>
          <w:lang w:val="fr-FR"/>
        </w:rPr>
        <w:t>Dans ce cadre, le Groupe a engagé de vastes chantiers de transformation couvrant l’ensemble de ses processus et leviers de performance qui s’appuient sur une amélioration de la gouvernance, l’ancrage du digital comme socle de développement, la modernisation des dispositifs de management et la mise en place d’un pilotage rigoureux des performances.</w:t>
      </w:r>
    </w:p>
    <w:p w14:paraId="402ABFB5" w14:textId="77777777" w:rsidR="00B411F0" w:rsidRPr="00B411F0" w:rsidRDefault="00B411F0" w:rsidP="00B411F0">
      <w:pPr>
        <w:jc w:val="both"/>
      </w:pPr>
      <w:r w:rsidRPr="00B411F0">
        <w:rPr>
          <w:b/>
          <w:bCs/>
          <w:lang w:val="fr-FR"/>
        </w:rPr>
        <w:t>Les résultats exceptionnels enregistrés en 2024 confirment la pertinence et l’impact structurant de la stratégie de transformation globale engagée par le Groupe, confirmant la solidité des orientations prises et la montée en puissance de son nouveau modèle de développement.</w:t>
      </w:r>
    </w:p>
    <w:p w14:paraId="5D2A56ED" w14:textId="77777777" w:rsidR="002510A7" w:rsidRDefault="002510A7" w:rsidP="00B411F0">
      <w:pPr>
        <w:jc w:val="both"/>
        <w:rPr>
          <w:b/>
          <w:bCs/>
          <w:color w:val="0F4761" w:themeColor="accent1" w:themeShade="BF"/>
          <w:lang w:val="fr-FR"/>
        </w:rPr>
      </w:pPr>
    </w:p>
    <w:p w14:paraId="43094644" w14:textId="2D742E8B" w:rsidR="00B411F0" w:rsidRPr="00B411F0" w:rsidRDefault="00B411F0" w:rsidP="00B411F0">
      <w:pPr>
        <w:jc w:val="both"/>
        <w:rPr>
          <w:color w:val="0F4761" w:themeColor="accent1" w:themeShade="BF"/>
        </w:rPr>
      </w:pPr>
      <w:r w:rsidRPr="00B411F0">
        <w:rPr>
          <w:b/>
          <w:bCs/>
          <w:color w:val="0F4761" w:themeColor="accent1" w:themeShade="BF"/>
          <w:lang w:val="fr-FR"/>
        </w:rPr>
        <w:t xml:space="preserve">UNE DYNAMIQUE </w:t>
      </w:r>
      <w:r w:rsidRPr="00B411F0">
        <w:rPr>
          <w:b/>
          <w:bCs/>
          <w:color w:val="0F4761" w:themeColor="accent1" w:themeShade="BF"/>
          <w:lang w:val="fr-FR"/>
        </w:rPr>
        <w:t>SOUTENUE D’INVESTISSEMENT</w:t>
      </w:r>
      <w:r w:rsidRPr="00B411F0">
        <w:rPr>
          <w:b/>
          <w:bCs/>
          <w:color w:val="0F4761" w:themeColor="accent1" w:themeShade="BF"/>
          <w:lang w:val="fr-FR"/>
        </w:rPr>
        <w:t xml:space="preserve"> ET D’ACCOMPAGNEMENT DES PARTENAIRES PUBLICS : AL OMRANE CONFIRME SON RÔLE D’OPÉRATEUR STRATÉGIQUE</w:t>
      </w:r>
    </w:p>
    <w:p w14:paraId="55D96B6E" w14:textId="77777777" w:rsidR="00B411F0" w:rsidRPr="00B411F0" w:rsidRDefault="00B411F0" w:rsidP="00B411F0">
      <w:pPr>
        <w:jc w:val="both"/>
      </w:pPr>
      <w:r w:rsidRPr="00B411F0">
        <w:rPr>
          <w:lang w:val="fr-FR"/>
        </w:rPr>
        <w:t xml:space="preserve">En 2024, le Groupe a mis en chantier </w:t>
      </w:r>
      <w:r w:rsidRPr="00B411F0">
        <w:rPr>
          <w:b/>
          <w:bCs/>
          <w:lang w:val="fr-FR"/>
        </w:rPr>
        <w:t>8.318 unités de production nouvelle</w:t>
      </w:r>
      <w:r w:rsidRPr="00B411F0">
        <w:rPr>
          <w:lang w:val="fr-FR"/>
        </w:rPr>
        <w:t xml:space="preserve">, en progression de </w:t>
      </w:r>
      <w:r w:rsidRPr="00B411F0">
        <w:rPr>
          <w:b/>
          <w:bCs/>
          <w:lang w:val="fr-FR"/>
        </w:rPr>
        <w:t xml:space="preserve">27% </w:t>
      </w:r>
      <w:r w:rsidRPr="00B411F0">
        <w:rPr>
          <w:lang w:val="fr-FR"/>
        </w:rPr>
        <w:t xml:space="preserve">par rapport à l’année précédente, et a achevé </w:t>
      </w:r>
      <w:r w:rsidRPr="00B411F0">
        <w:rPr>
          <w:b/>
          <w:bCs/>
          <w:lang w:val="fr-FR"/>
        </w:rPr>
        <w:t>17.380 unités</w:t>
      </w:r>
      <w:r w:rsidRPr="00B411F0">
        <w:rPr>
          <w:lang w:val="fr-FR"/>
        </w:rPr>
        <w:t xml:space="preserve">, soit une hausse de </w:t>
      </w:r>
      <w:r w:rsidRPr="00B411F0">
        <w:rPr>
          <w:b/>
          <w:bCs/>
          <w:lang w:val="fr-FR"/>
        </w:rPr>
        <w:t>60%</w:t>
      </w:r>
      <w:r w:rsidRPr="00B411F0">
        <w:rPr>
          <w:lang w:val="fr-FR"/>
        </w:rPr>
        <w:t>. Cette croissance significative illustre l’engagement du Groupe à renforcer l’offre en logement et à répondre aux besoins des citoyens.</w:t>
      </w:r>
    </w:p>
    <w:p w14:paraId="10FB34CE" w14:textId="77777777" w:rsidR="00B411F0" w:rsidRPr="00B411F0" w:rsidRDefault="00B411F0" w:rsidP="00B411F0">
      <w:pPr>
        <w:jc w:val="both"/>
      </w:pPr>
      <w:r w:rsidRPr="00B411F0">
        <w:rPr>
          <w:lang w:val="fr-FR"/>
        </w:rPr>
        <w:lastRenderedPageBreak/>
        <w:t xml:space="preserve">L’investissement global réalisé en 2024 s’établit à </w:t>
      </w:r>
      <w:r w:rsidRPr="00B411F0">
        <w:rPr>
          <w:b/>
          <w:bCs/>
          <w:lang w:val="fr-FR"/>
        </w:rPr>
        <w:t>5.419 MDH</w:t>
      </w:r>
      <w:r w:rsidRPr="00B411F0">
        <w:rPr>
          <w:lang w:val="fr-FR"/>
        </w:rPr>
        <w:t xml:space="preserve">, en progression de </w:t>
      </w:r>
      <w:r w:rsidRPr="00B411F0">
        <w:rPr>
          <w:b/>
          <w:bCs/>
          <w:lang w:val="fr-FR"/>
        </w:rPr>
        <w:t>19%</w:t>
      </w:r>
      <w:r w:rsidRPr="00B411F0">
        <w:rPr>
          <w:lang w:val="fr-FR"/>
        </w:rPr>
        <w:t xml:space="preserve"> par rapport à l’exercice précédent. Ce volume comprend </w:t>
      </w:r>
      <w:r w:rsidRPr="00B411F0">
        <w:rPr>
          <w:b/>
          <w:bCs/>
          <w:lang w:val="fr-FR"/>
        </w:rPr>
        <w:t xml:space="preserve">3.299 MDH </w:t>
      </w:r>
      <w:r w:rsidRPr="00B411F0">
        <w:rPr>
          <w:lang w:val="fr-FR"/>
        </w:rPr>
        <w:t xml:space="preserve">en investissements propres, en hausse de </w:t>
      </w:r>
      <w:r w:rsidRPr="00B411F0">
        <w:rPr>
          <w:b/>
          <w:bCs/>
          <w:lang w:val="fr-FR"/>
        </w:rPr>
        <w:t>28%</w:t>
      </w:r>
      <w:r w:rsidRPr="00B411F0">
        <w:rPr>
          <w:lang w:val="fr-FR"/>
        </w:rPr>
        <w:t xml:space="preserve"> par rapport à 2023, et </w:t>
      </w:r>
      <w:r w:rsidRPr="00B411F0">
        <w:rPr>
          <w:b/>
          <w:bCs/>
          <w:lang w:val="fr-FR"/>
        </w:rPr>
        <w:t xml:space="preserve">2.120 MDH </w:t>
      </w:r>
      <w:r w:rsidRPr="00B411F0">
        <w:rPr>
          <w:lang w:val="fr-FR"/>
        </w:rPr>
        <w:t xml:space="preserve">en maîtrise d’ouvrage déléguée pour le compte de l’Etat, enregistrant une croissance de </w:t>
      </w:r>
      <w:r w:rsidRPr="00B411F0">
        <w:rPr>
          <w:b/>
          <w:bCs/>
          <w:lang w:val="fr-FR"/>
        </w:rPr>
        <w:t>7%</w:t>
      </w:r>
      <w:r w:rsidRPr="00B411F0">
        <w:rPr>
          <w:lang w:val="fr-FR"/>
        </w:rPr>
        <w:t xml:space="preserve"> par rapport à 2023, confirmant ainsi le rôle du Groupe en tant qu’acteur clé dans l’exécution des programmes publics d’aménagement et de logement.</w:t>
      </w:r>
    </w:p>
    <w:p w14:paraId="10256E26" w14:textId="77777777" w:rsidR="00B411F0" w:rsidRPr="00B411F0" w:rsidRDefault="00B411F0" w:rsidP="00B411F0">
      <w:pPr>
        <w:jc w:val="both"/>
      </w:pPr>
      <w:r w:rsidRPr="00B411F0">
        <w:rPr>
          <w:lang w:val="fr-FR"/>
        </w:rPr>
        <w:t xml:space="preserve">Dans le cadre du programme d’aide au logement, le Groupe a mis en chantier </w:t>
      </w:r>
      <w:r w:rsidRPr="00B411F0">
        <w:rPr>
          <w:b/>
          <w:bCs/>
          <w:lang w:val="fr-FR"/>
        </w:rPr>
        <w:t xml:space="preserve">17.025 unités </w:t>
      </w:r>
      <w:r w:rsidRPr="00B411F0">
        <w:rPr>
          <w:lang w:val="fr-FR"/>
        </w:rPr>
        <w:t xml:space="preserve">et achevé </w:t>
      </w:r>
      <w:r w:rsidRPr="00B411F0">
        <w:rPr>
          <w:b/>
          <w:bCs/>
          <w:lang w:val="fr-FR"/>
        </w:rPr>
        <w:t>4.315 unités</w:t>
      </w:r>
      <w:r w:rsidRPr="00B411F0">
        <w:rPr>
          <w:lang w:val="fr-FR"/>
        </w:rPr>
        <w:t>. Cette contribution favorise l’accessibilité au logement pour de nombreux ménages, consolidant ainsi la politique de développement social et territorial du pays.</w:t>
      </w:r>
    </w:p>
    <w:p w14:paraId="06FF5AD6" w14:textId="13D952FE" w:rsidR="00B411F0" w:rsidRPr="00B411F0" w:rsidRDefault="00B411F0" w:rsidP="00B411F0">
      <w:pPr>
        <w:jc w:val="both"/>
      </w:pPr>
      <w:r w:rsidRPr="00B411F0">
        <w:rPr>
          <w:lang w:val="fr-FR"/>
        </w:rPr>
        <w:t xml:space="preserve">Les nouvelles commandes de l’État ont atteint </w:t>
      </w:r>
      <w:r w:rsidRPr="00B411F0">
        <w:rPr>
          <w:b/>
          <w:bCs/>
          <w:lang w:val="fr-FR"/>
        </w:rPr>
        <w:t xml:space="preserve">4.222 MDH </w:t>
      </w:r>
      <w:r w:rsidRPr="00B411F0">
        <w:rPr>
          <w:lang w:val="fr-FR"/>
        </w:rPr>
        <w:t xml:space="preserve">en 2024, soit une progression remarquable de </w:t>
      </w:r>
      <w:r w:rsidRPr="00B411F0">
        <w:rPr>
          <w:b/>
          <w:bCs/>
          <w:lang w:val="fr-FR"/>
        </w:rPr>
        <w:t>147%</w:t>
      </w:r>
      <w:r w:rsidRPr="00B411F0">
        <w:rPr>
          <w:lang w:val="fr-FR"/>
        </w:rPr>
        <w:t xml:space="preserve"> par rapport à l’année précédente, ce qui constitue un autre indicateur de la confiance des pouvoirs publics dans le </w:t>
      </w:r>
      <w:r w:rsidRPr="00B411F0">
        <w:rPr>
          <w:lang w:val="fr-FR"/>
        </w:rPr>
        <w:t>Groupe.</w:t>
      </w:r>
      <w:r w:rsidRPr="00B411F0">
        <w:rPr>
          <w:lang w:val="fr-FR"/>
        </w:rPr>
        <w:t xml:space="preserve"> </w:t>
      </w:r>
    </w:p>
    <w:p w14:paraId="0D4C6B9C" w14:textId="77777777" w:rsidR="00B411F0" w:rsidRDefault="00B411F0" w:rsidP="00B411F0">
      <w:pPr>
        <w:jc w:val="both"/>
        <w:rPr>
          <w:lang w:val="fr-FR"/>
        </w:rPr>
      </w:pPr>
      <w:r w:rsidRPr="00B411F0">
        <w:rPr>
          <w:lang w:val="fr-FR"/>
        </w:rPr>
        <w:t>Ces évolutions renseignent sur le rôle stratégique du Groupe Al Omrane dans la mise en œuvre des politiques publiques en matière d’habitat et d’aménagement urbain, consolidant sa position en tant que moteur du développement territorial et social.</w:t>
      </w:r>
    </w:p>
    <w:p w14:paraId="3A914044" w14:textId="77777777" w:rsidR="002510A7" w:rsidRDefault="002510A7" w:rsidP="00B411F0">
      <w:pPr>
        <w:jc w:val="both"/>
        <w:rPr>
          <w:b/>
          <w:bCs/>
          <w:color w:val="0F4761" w:themeColor="accent1" w:themeShade="BF"/>
          <w:lang w:val="fr-FR"/>
        </w:rPr>
      </w:pPr>
    </w:p>
    <w:p w14:paraId="4E513836" w14:textId="3C559711" w:rsidR="00B411F0" w:rsidRPr="00B411F0" w:rsidRDefault="00B411F0" w:rsidP="00B411F0">
      <w:pPr>
        <w:jc w:val="both"/>
        <w:rPr>
          <w:color w:val="0F4761" w:themeColor="accent1" w:themeShade="BF"/>
        </w:rPr>
      </w:pPr>
      <w:r w:rsidRPr="00B411F0">
        <w:rPr>
          <w:b/>
          <w:bCs/>
          <w:color w:val="0F4761" w:themeColor="accent1" w:themeShade="BF"/>
          <w:lang w:val="fr-FR"/>
        </w:rPr>
        <w:t>UNE DYNAMIQUE COMMERCIALE PORTÉE PAR LA NOUVELLE STRATÉGIE AU SERVICE DU CITOYEN</w:t>
      </w:r>
    </w:p>
    <w:p w14:paraId="1CE647CF" w14:textId="77777777" w:rsidR="00B411F0" w:rsidRPr="00B411F0" w:rsidRDefault="00B411F0" w:rsidP="00B411F0">
      <w:pPr>
        <w:jc w:val="both"/>
      </w:pPr>
      <w:r w:rsidRPr="00B411F0">
        <w:rPr>
          <w:lang w:val="fr-FR"/>
        </w:rPr>
        <w:t xml:space="preserve">En 2024, le chiffre d’affaires a atteint </w:t>
      </w:r>
      <w:r w:rsidRPr="00B411F0">
        <w:rPr>
          <w:b/>
          <w:bCs/>
          <w:lang w:val="fr-FR"/>
        </w:rPr>
        <w:t>5.402 MDH</w:t>
      </w:r>
      <w:r w:rsidRPr="00B411F0">
        <w:rPr>
          <w:lang w:val="fr-FR"/>
        </w:rPr>
        <w:t xml:space="preserve">, enregistrant une hausse de </w:t>
      </w:r>
      <w:r w:rsidRPr="00B411F0">
        <w:rPr>
          <w:b/>
          <w:bCs/>
          <w:lang w:val="fr-FR"/>
        </w:rPr>
        <w:t>26%</w:t>
      </w:r>
      <w:r w:rsidRPr="00B411F0">
        <w:rPr>
          <w:lang w:val="fr-FR"/>
        </w:rPr>
        <w:t xml:space="preserve"> par rapport à 2023 et de </w:t>
      </w:r>
      <w:r w:rsidRPr="00B411F0">
        <w:rPr>
          <w:b/>
          <w:bCs/>
          <w:lang w:val="fr-FR"/>
        </w:rPr>
        <w:t>32%</w:t>
      </w:r>
      <w:r w:rsidRPr="00B411F0">
        <w:rPr>
          <w:lang w:val="fr-FR"/>
        </w:rPr>
        <w:t xml:space="preserve"> par rapport à la moyenne de 2019-2022, illustrant une forte redynamisation commerciale.</w:t>
      </w:r>
    </w:p>
    <w:p w14:paraId="495DA205" w14:textId="77777777" w:rsidR="00B411F0" w:rsidRPr="00B411F0" w:rsidRDefault="00B411F0" w:rsidP="00B411F0">
      <w:pPr>
        <w:jc w:val="both"/>
      </w:pPr>
      <w:r w:rsidRPr="00B411F0">
        <w:rPr>
          <w:lang w:val="fr-FR"/>
        </w:rPr>
        <w:t xml:space="preserve">Les recettes suivent une trajectoire remarquable, atteignant un niveau record de </w:t>
      </w:r>
      <w:r w:rsidRPr="00B411F0">
        <w:rPr>
          <w:b/>
          <w:bCs/>
          <w:lang w:val="fr-FR"/>
        </w:rPr>
        <w:t>6.518 MDH</w:t>
      </w:r>
      <w:r w:rsidRPr="00B411F0">
        <w:rPr>
          <w:lang w:val="fr-FR"/>
        </w:rPr>
        <w:t xml:space="preserve">, soit une croissance de </w:t>
      </w:r>
      <w:r w:rsidRPr="00B411F0">
        <w:rPr>
          <w:b/>
          <w:bCs/>
          <w:lang w:val="fr-FR"/>
        </w:rPr>
        <w:t>38%</w:t>
      </w:r>
      <w:r w:rsidRPr="00B411F0">
        <w:rPr>
          <w:lang w:val="fr-FR"/>
        </w:rPr>
        <w:t xml:space="preserve"> par rapport à l’année précédente et de </w:t>
      </w:r>
      <w:r w:rsidRPr="00B411F0">
        <w:rPr>
          <w:b/>
          <w:bCs/>
          <w:lang w:val="fr-FR"/>
        </w:rPr>
        <w:t>69%</w:t>
      </w:r>
      <w:r w:rsidRPr="00B411F0">
        <w:rPr>
          <w:lang w:val="fr-FR"/>
        </w:rPr>
        <w:t xml:space="preserve"> par rapport à la moyenne de 2019-2022. </w:t>
      </w:r>
    </w:p>
    <w:p w14:paraId="561C6A1B" w14:textId="77777777" w:rsidR="002510A7" w:rsidRDefault="002510A7" w:rsidP="00B411F0">
      <w:pPr>
        <w:jc w:val="both"/>
        <w:rPr>
          <w:b/>
          <w:bCs/>
          <w:color w:val="0F4761" w:themeColor="accent1" w:themeShade="BF"/>
          <w:lang w:val="fr-FR"/>
        </w:rPr>
      </w:pPr>
    </w:p>
    <w:p w14:paraId="281D8125" w14:textId="715B496A" w:rsidR="00B411F0" w:rsidRPr="00B411F0" w:rsidRDefault="00B411F0" w:rsidP="00B411F0">
      <w:pPr>
        <w:jc w:val="both"/>
        <w:rPr>
          <w:color w:val="0F4761" w:themeColor="accent1" w:themeShade="BF"/>
        </w:rPr>
      </w:pPr>
      <w:r w:rsidRPr="00B411F0">
        <w:rPr>
          <w:b/>
          <w:bCs/>
          <w:color w:val="0F4761" w:themeColor="accent1" w:themeShade="BF"/>
          <w:lang w:val="fr-FR"/>
        </w:rPr>
        <w:t xml:space="preserve">UNE RENTABILITÉ RETROUVÉE ET UNE GESTION OPTIMISÉE DES RESSOURCES FINANCIERES </w:t>
      </w:r>
    </w:p>
    <w:p w14:paraId="0EF02E6E" w14:textId="77777777" w:rsidR="00B411F0" w:rsidRPr="00B411F0" w:rsidRDefault="00B411F0" w:rsidP="00B411F0">
      <w:pPr>
        <w:jc w:val="both"/>
      </w:pPr>
      <w:r w:rsidRPr="00B411F0">
        <w:rPr>
          <w:lang w:val="fr-FR"/>
        </w:rPr>
        <w:t xml:space="preserve">Porté par la croissance de son chiffre d’affaires, la maîtrise des charges et l’amélioration de la performance opérationnelle, le Groupe enregistre en 2024 un résultat net consolidé de </w:t>
      </w:r>
      <w:r w:rsidRPr="00B411F0">
        <w:rPr>
          <w:b/>
          <w:bCs/>
          <w:lang w:val="fr-FR"/>
        </w:rPr>
        <w:t>257 MDH</w:t>
      </w:r>
      <w:r w:rsidRPr="00B411F0">
        <w:rPr>
          <w:lang w:val="fr-FR"/>
        </w:rPr>
        <w:t xml:space="preserve">, contre une perte de </w:t>
      </w:r>
      <w:r w:rsidRPr="00B411F0">
        <w:rPr>
          <w:b/>
          <w:bCs/>
          <w:lang w:val="fr-FR"/>
        </w:rPr>
        <w:t xml:space="preserve">1.170 MDH </w:t>
      </w:r>
      <w:r w:rsidRPr="00B411F0">
        <w:rPr>
          <w:lang w:val="fr-FR"/>
        </w:rPr>
        <w:t xml:space="preserve">en 2023. Le Holding s’inscrit dans cette même dynamique, avec un résultat net de </w:t>
      </w:r>
      <w:r w:rsidRPr="00B411F0">
        <w:rPr>
          <w:b/>
          <w:bCs/>
          <w:lang w:val="fr-FR"/>
        </w:rPr>
        <w:t xml:space="preserve">223 MDH </w:t>
      </w:r>
      <w:r w:rsidRPr="00B411F0">
        <w:rPr>
          <w:lang w:val="fr-FR"/>
        </w:rPr>
        <w:t xml:space="preserve">contre une perte de 780 MDH en 2023. Cette trajectoire est également soutenue par la diminution de </w:t>
      </w:r>
      <w:r w:rsidRPr="00B411F0">
        <w:rPr>
          <w:b/>
          <w:bCs/>
          <w:lang w:val="fr-FR"/>
        </w:rPr>
        <w:t>9%</w:t>
      </w:r>
      <w:r w:rsidRPr="00B411F0">
        <w:rPr>
          <w:lang w:val="fr-FR"/>
        </w:rPr>
        <w:t xml:space="preserve"> de l’endettement. </w:t>
      </w:r>
    </w:p>
    <w:p w14:paraId="224D7525" w14:textId="77777777" w:rsidR="002510A7" w:rsidRDefault="002510A7" w:rsidP="00B411F0">
      <w:pPr>
        <w:jc w:val="both"/>
        <w:rPr>
          <w:b/>
          <w:bCs/>
          <w:color w:val="0F4761" w:themeColor="accent1" w:themeShade="BF"/>
          <w:lang w:val="fr-FR"/>
        </w:rPr>
      </w:pPr>
    </w:p>
    <w:p w14:paraId="1228E78C" w14:textId="77777777" w:rsidR="002510A7" w:rsidRDefault="002510A7" w:rsidP="00B411F0">
      <w:pPr>
        <w:jc w:val="both"/>
        <w:rPr>
          <w:b/>
          <w:bCs/>
          <w:color w:val="0F4761" w:themeColor="accent1" w:themeShade="BF"/>
          <w:lang w:val="fr-FR"/>
        </w:rPr>
      </w:pPr>
    </w:p>
    <w:p w14:paraId="2F31D81A" w14:textId="1B1F7EBA" w:rsidR="00B411F0" w:rsidRPr="00B411F0" w:rsidRDefault="00B411F0" w:rsidP="00B411F0">
      <w:pPr>
        <w:jc w:val="both"/>
        <w:rPr>
          <w:color w:val="0F4761" w:themeColor="accent1" w:themeShade="BF"/>
        </w:rPr>
      </w:pPr>
      <w:r w:rsidRPr="00B411F0">
        <w:rPr>
          <w:b/>
          <w:bCs/>
          <w:color w:val="0F4761" w:themeColor="accent1" w:themeShade="BF"/>
          <w:lang w:val="fr-FR"/>
        </w:rPr>
        <w:t xml:space="preserve">PERSPECTIVES </w:t>
      </w:r>
    </w:p>
    <w:p w14:paraId="263C2262" w14:textId="77777777" w:rsidR="00B411F0" w:rsidRPr="00B411F0" w:rsidRDefault="00B411F0" w:rsidP="00B411F0">
      <w:pPr>
        <w:jc w:val="both"/>
      </w:pPr>
      <w:r w:rsidRPr="00B411F0">
        <w:rPr>
          <w:lang w:val="fr-FR"/>
        </w:rPr>
        <w:t xml:space="preserve">Dans la continuité des résultats enregistrés en 2024, le Groupe Al Omrane s’engage dans la poursuite de cette dynamique, en accordant une priorité particulière à plusieurs leviers stratégiques.  Il s’engage résolument dans une démarche proactive de reconstitution de sa réserve foncière, renforce sa contribution au nouveau Programme d’Aide au Logement avec l’ambition de contribuer, d’ici 2028, à la réalisation de plus de </w:t>
      </w:r>
      <w:r w:rsidRPr="00B411F0">
        <w:rPr>
          <w:b/>
          <w:bCs/>
          <w:lang w:val="fr-FR"/>
        </w:rPr>
        <w:t xml:space="preserve">147.000 unités </w:t>
      </w:r>
      <w:r w:rsidRPr="00B411F0">
        <w:rPr>
          <w:lang w:val="fr-FR"/>
        </w:rPr>
        <w:t xml:space="preserve">sur l’ensemble du territoire national et veille à anticiper et maîtriser l’impact de l’application du nouveau Plan Comptable du Secteur Immobilier. </w:t>
      </w:r>
    </w:p>
    <w:sectPr w:rsidR="00B411F0" w:rsidRPr="00B41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22"/>
    <w:rsid w:val="000C65F3"/>
    <w:rsid w:val="00187F3B"/>
    <w:rsid w:val="002510A7"/>
    <w:rsid w:val="00326B22"/>
    <w:rsid w:val="007264E3"/>
    <w:rsid w:val="00AD24A5"/>
    <w:rsid w:val="00AF2FF4"/>
    <w:rsid w:val="00B411F0"/>
    <w:rsid w:val="00D25A8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335D"/>
  <w15:chartTrackingRefBased/>
  <w15:docId w15:val="{9103925A-261F-4A38-BA43-57E74359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6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26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26B2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26B2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26B2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26B2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26B2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26B2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26B2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6B2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26B2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26B2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26B2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26B2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26B2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26B2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26B2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26B22"/>
    <w:rPr>
      <w:rFonts w:eastAsiaTheme="majorEastAsia" w:cstheme="majorBidi"/>
      <w:color w:val="272727" w:themeColor="text1" w:themeTint="D8"/>
    </w:rPr>
  </w:style>
  <w:style w:type="paragraph" w:styleId="Titre">
    <w:name w:val="Title"/>
    <w:basedOn w:val="Normal"/>
    <w:next w:val="Normal"/>
    <w:link w:val="TitreCar"/>
    <w:uiPriority w:val="10"/>
    <w:qFormat/>
    <w:rsid w:val="00326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6B2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26B2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26B2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26B22"/>
    <w:pPr>
      <w:spacing w:before="160"/>
      <w:jc w:val="center"/>
    </w:pPr>
    <w:rPr>
      <w:i/>
      <w:iCs/>
      <w:color w:val="404040" w:themeColor="text1" w:themeTint="BF"/>
    </w:rPr>
  </w:style>
  <w:style w:type="character" w:customStyle="1" w:styleId="CitationCar">
    <w:name w:val="Citation Car"/>
    <w:basedOn w:val="Policepardfaut"/>
    <w:link w:val="Citation"/>
    <w:uiPriority w:val="29"/>
    <w:rsid w:val="00326B22"/>
    <w:rPr>
      <w:i/>
      <w:iCs/>
      <w:color w:val="404040" w:themeColor="text1" w:themeTint="BF"/>
    </w:rPr>
  </w:style>
  <w:style w:type="paragraph" w:styleId="Paragraphedeliste">
    <w:name w:val="List Paragraph"/>
    <w:basedOn w:val="Normal"/>
    <w:uiPriority w:val="34"/>
    <w:qFormat/>
    <w:rsid w:val="00326B22"/>
    <w:pPr>
      <w:ind w:left="720"/>
      <w:contextualSpacing/>
    </w:pPr>
  </w:style>
  <w:style w:type="character" w:styleId="Accentuationintense">
    <w:name w:val="Intense Emphasis"/>
    <w:basedOn w:val="Policepardfaut"/>
    <w:uiPriority w:val="21"/>
    <w:qFormat/>
    <w:rsid w:val="00326B22"/>
    <w:rPr>
      <w:i/>
      <w:iCs/>
      <w:color w:val="0F4761" w:themeColor="accent1" w:themeShade="BF"/>
    </w:rPr>
  </w:style>
  <w:style w:type="paragraph" w:styleId="Citationintense">
    <w:name w:val="Intense Quote"/>
    <w:basedOn w:val="Normal"/>
    <w:next w:val="Normal"/>
    <w:link w:val="CitationintenseCar"/>
    <w:uiPriority w:val="30"/>
    <w:qFormat/>
    <w:rsid w:val="00326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26B22"/>
    <w:rPr>
      <w:i/>
      <w:iCs/>
      <w:color w:val="0F4761" w:themeColor="accent1" w:themeShade="BF"/>
    </w:rPr>
  </w:style>
  <w:style w:type="character" w:styleId="Rfrenceintense">
    <w:name w:val="Intense Reference"/>
    <w:basedOn w:val="Policepardfaut"/>
    <w:uiPriority w:val="32"/>
    <w:qFormat/>
    <w:rsid w:val="00326B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7680">
      <w:bodyDiv w:val="1"/>
      <w:marLeft w:val="0"/>
      <w:marRight w:val="0"/>
      <w:marTop w:val="0"/>
      <w:marBottom w:val="0"/>
      <w:divBdr>
        <w:top w:val="none" w:sz="0" w:space="0" w:color="auto"/>
        <w:left w:val="none" w:sz="0" w:space="0" w:color="auto"/>
        <w:bottom w:val="none" w:sz="0" w:space="0" w:color="auto"/>
        <w:right w:val="none" w:sz="0" w:space="0" w:color="auto"/>
      </w:divBdr>
    </w:div>
    <w:div w:id="121190648">
      <w:bodyDiv w:val="1"/>
      <w:marLeft w:val="0"/>
      <w:marRight w:val="0"/>
      <w:marTop w:val="0"/>
      <w:marBottom w:val="0"/>
      <w:divBdr>
        <w:top w:val="none" w:sz="0" w:space="0" w:color="auto"/>
        <w:left w:val="none" w:sz="0" w:space="0" w:color="auto"/>
        <w:bottom w:val="none" w:sz="0" w:space="0" w:color="auto"/>
        <w:right w:val="none" w:sz="0" w:space="0" w:color="auto"/>
      </w:divBdr>
    </w:div>
    <w:div w:id="272858060">
      <w:bodyDiv w:val="1"/>
      <w:marLeft w:val="0"/>
      <w:marRight w:val="0"/>
      <w:marTop w:val="0"/>
      <w:marBottom w:val="0"/>
      <w:divBdr>
        <w:top w:val="none" w:sz="0" w:space="0" w:color="auto"/>
        <w:left w:val="none" w:sz="0" w:space="0" w:color="auto"/>
        <w:bottom w:val="none" w:sz="0" w:space="0" w:color="auto"/>
        <w:right w:val="none" w:sz="0" w:space="0" w:color="auto"/>
      </w:divBdr>
    </w:div>
    <w:div w:id="285937517">
      <w:bodyDiv w:val="1"/>
      <w:marLeft w:val="0"/>
      <w:marRight w:val="0"/>
      <w:marTop w:val="0"/>
      <w:marBottom w:val="0"/>
      <w:divBdr>
        <w:top w:val="none" w:sz="0" w:space="0" w:color="auto"/>
        <w:left w:val="none" w:sz="0" w:space="0" w:color="auto"/>
        <w:bottom w:val="none" w:sz="0" w:space="0" w:color="auto"/>
        <w:right w:val="none" w:sz="0" w:space="0" w:color="auto"/>
      </w:divBdr>
    </w:div>
    <w:div w:id="325521906">
      <w:bodyDiv w:val="1"/>
      <w:marLeft w:val="0"/>
      <w:marRight w:val="0"/>
      <w:marTop w:val="0"/>
      <w:marBottom w:val="0"/>
      <w:divBdr>
        <w:top w:val="none" w:sz="0" w:space="0" w:color="auto"/>
        <w:left w:val="none" w:sz="0" w:space="0" w:color="auto"/>
        <w:bottom w:val="none" w:sz="0" w:space="0" w:color="auto"/>
        <w:right w:val="none" w:sz="0" w:space="0" w:color="auto"/>
      </w:divBdr>
    </w:div>
    <w:div w:id="1013803184">
      <w:bodyDiv w:val="1"/>
      <w:marLeft w:val="0"/>
      <w:marRight w:val="0"/>
      <w:marTop w:val="0"/>
      <w:marBottom w:val="0"/>
      <w:divBdr>
        <w:top w:val="none" w:sz="0" w:space="0" w:color="auto"/>
        <w:left w:val="none" w:sz="0" w:space="0" w:color="auto"/>
        <w:bottom w:val="none" w:sz="0" w:space="0" w:color="auto"/>
        <w:right w:val="none" w:sz="0" w:space="0" w:color="auto"/>
      </w:divBdr>
    </w:div>
    <w:div w:id="1130320174">
      <w:bodyDiv w:val="1"/>
      <w:marLeft w:val="0"/>
      <w:marRight w:val="0"/>
      <w:marTop w:val="0"/>
      <w:marBottom w:val="0"/>
      <w:divBdr>
        <w:top w:val="none" w:sz="0" w:space="0" w:color="auto"/>
        <w:left w:val="none" w:sz="0" w:space="0" w:color="auto"/>
        <w:bottom w:val="none" w:sz="0" w:space="0" w:color="auto"/>
        <w:right w:val="none" w:sz="0" w:space="0" w:color="auto"/>
      </w:divBdr>
    </w:div>
    <w:div w:id="1331908581">
      <w:bodyDiv w:val="1"/>
      <w:marLeft w:val="0"/>
      <w:marRight w:val="0"/>
      <w:marTop w:val="0"/>
      <w:marBottom w:val="0"/>
      <w:divBdr>
        <w:top w:val="none" w:sz="0" w:space="0" w:color="auto"/>
        <w:left w:val="none" w:sz="0" w:space="0" w:color="auto"/>
        <w:bottom w:val="none" w:sz="0" w:space="0" w:color="auto"/>
        <w:right w:val="none" w:sz="0" w:space="0" w:color="auto"/>
      </w:divBdr>
    </w:div>
    <w:div w:id="1566139535">
      <w:bodyDiv w:val="1"/>
      <w:marLeft w:val="0"/>
      <w:marRight w:val="0"/>
      <w:marTop w:val="0"/>
      <w:marBottom w:val="0"/>
      <w:divBdr>
        <w:top w:val="none" w:sz="0" w:space="0" w:color="auto"/>
        <w:left w:val="none" w:sz="0" w:space="0" w:color="auto"/>
        <w:bottom w:val="none" w:sz="0" w:space="0" w:color="auto"/>
        <w:right w:val="none" w:sz="0" w:space="0" w:color="auto"/>
      </w:divBdr>
    </w:div>
    <w:div w:id="183671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720</Words>
  <Characters>3964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KAWTAR</dc:creator>
  <cp:keywords/>
  <dc:description/>
  <cp:lastModifiedBy>CHERIF KAWTAR</cp:lastModifiedBy>
  <cp:revision>6</cp:revision>
  <cp:lastPrinted>2025-03-28T15:32:00Z</cp:lastPrinted>
  <dcterms:created xsi:type="dcterms:W3CDTF">2025-03-28T10:14:00Z</dcterms:created>
  <dcterms:modified xsi:type="dcterms:W3CDTF">2025-03-28T11:24:00Z</dcterms:modified>
</cp:coreProperties>
</file>